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5B" w:rsidRDefault="003B085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085B" w:rsidRDefault="003B085B" w:rsidP="003B085B">
      <w:pPr>
        <w:tabs>
          <w:tab w:val="left" w:pos="2550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93800" w:rsidRPr="003B085B" w:rsidRDefault="000113E6" w:rsidP="003B085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B085B">
        <w:rPr>
          <w:rFonts w:ascii="Times New Roman" w:hAnsi="Times New Roman" w:cs="Times New Roman"/>
          <w:sz w:val="24"/>
          <w:szCs w:val="24"/>
          <w:lang w:val="en-US"/>
        </w:rPr>
        <w:t xml:space="preserve">Regional Economic Outlook </w:t>
      </w:r>
      <w:r w:rsidR="003B085B" w:rsidRPr="003B085B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3B085B">
        <w:rPr>
          <w:rFonts w:ascii="Times New Roman" w:hAnsi="Times New Roman" w:cs="Times New Roman"/>
          <w:sz w:val="24"/>
          <w:szCs w:val="24"/>
          <w:lang w:val="en-US"/>
        </w:rPr>
        <w:t xml:space="preserve"> Azerbaijan</w:t>
      </w:r>
    </w:p>
    <w:p w:rsidR="003B085B" w:rsidRPr="003B085B" w:rsidRDefault="003B085B" w:rsidP="003B085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B085B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:rsidR="003B085B" w:rsidRPr="003B085B" w:rsidRDefault="003B085B" w:rsidP="003B085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B085B">
        <w:rPr>
          <w:rFonts w:ascii="Times New Roman" w:hAnsi="Times New Roman" w:cs="Times New Roman"/>
          <w:sz w:val="24"/>
          <w:szCs w:val="24"/>
          <w:lang w:val="en-US"/>
        </w:rPr>
        <w:t>Institutional affiliation:</w:t>
      </w: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085B" w:rsidRDefault="003B085B" w:rsidP="00E77C3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E72" w:rsidRPr="007E0E72" w:rsidRDefault="007E0E72" w:rsidP="007E0E7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E0E7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Regional Economic Outlook – Azerbaijan</w:t>
      </w:r>
    </w:p>
    <w:p w:rsidR="000113E6" w:rsidRPr="00E77C32" w:rsidRDefault="000113E6" w:rsidP="003B08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b/>
          <w:sz w:val="24"/>
          <w:szCs w:val="24"/>
          <w:lang w:val="en-US"/>
        </w:rPr>
        <w:t>Introduction</w:t>
      </w:r>
    </w:p>
    <w:p w:rsidR="00052D98" w:rsidRPr="00E77C32" w:rsidRDefault="00F36787" w:rsidP="003B085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Azerbaijan economy which largely </w:t>
      </w:r>
      <w:r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depend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on oil continues to struggle. The first ten months of 2017, saw the monthly GDP dwindling to 0.7%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519547517"/>
          <w:citation/>
        </w:sdtPr>
        <w:sdtContent>
          <w:r w:rsidR="00251CAC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begin"/>
          </w:r>
          <w:r w:rsidR="00FB4749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Foc171 \l 1033 </w:instrText>
          </w:r>
          <w:r w:rsidR="00251CAC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separate"/>
          </w:r>
          <w:r w:rsidR="00FB4749" w:rsidRPr="00E77C32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 xml:space="preserve"> (Focus Economics, 2017)</w:t>
          </w:r>
          <w:r w:rsidR="00251CAC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sdtContent>
      </w:sdt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71A22" w:rsidRPr="00E77C32">
        <w:rPr>
          <w:rFonts w:ascii="Times New Roman" w:hAnsi="Times New Roman" w:cs="Times New Roman"/>
          <w:sz w:val="24"/>
          <w:szCs w:val="24"/>
          <w:lang w:val="en-US"/>
        </w:rPr>
        <w:t>Non-oil</w:t>
      </w: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economies</w:t>
      </w:r>
      <w:r w:rsidR="004F2829" w:rsidRPr="00E77C3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on</w:t>
      </w: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the other hand, posted a 2.1% growth rate. </w:t>
      </w:r>
      <w:r w:rsidR="00F81F6F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A draft budget that focuses on </w:t>
      </w:r>
      <w:r w:rsidR="007E0E7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81F6F" w:rsidRPr="00E77C32">
        <w:rPr>
          <w:rFonts w:ascii="Times New Roman" w:hAnsi="Times New Roman" w:cs="Times New Roman"/>
          <w:sz w:val="24"/>
          <w:szCs w:val="24"/>
          <w:lang w:val="en-US"/>
        </w:rPr>
        <w:t>supporting</w:t>
      </w:r>
      <w:r w:rsidR="004F282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F81F6F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1F6F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non-eco</w:t>
      </w:r>
      <w:r w:rsidR="00171A22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nomic economy</w:t>
      </w:r>
      <w:r w:rsidR="007E0E72">
        <w:rPr>
          <w:rFonts w:ascii="Times New Roman" w:hAnsi="Times New Roman" w:cs="Times New Roman"/>
          <w:sz w:val="24"/>
          <w:szCs w:val="24"/>
          <w:lang w:val="en-US"/>
        </w:rPr>
        <w:t xml:space="preserve"> which aims at </w:t>
      </w:r>
      <w:r w:rsidR="00171A22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diversify the nation’s economy in the prevailing environmental condition. </w:t>
      </w:r>
      <w:r w:rsidR="00324914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With a population 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of an estimated 9.4 million people (according to the 2016 Population Census), Azerbaijan’s GDP has experienced a downward trend from US$ 8,014 to US$3.50 in 2013 and 2016. 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The trend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is relative to the 2016 economic growth (approximately -3</w:t>
      </w:r>
      <w:r w:rsidR="007E0E72">
        <w:rPr>
          <w:rFonts w:ascii="Times New Roman" w:hAnsi="Times New Roman" w:cs="Times New Roman"/>
          <w:sz w:val="24"/>
          <w:szCs w:val="24"/>
          <w:lang w:val="en-US"/>
        </w:rPr>
        <w:t>%) as compared to 5.8% in 2013 whereby s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>everal factors such as review of diversification of economy to cushion the improvement of</w:t>
      </w:r>
      <w:r w:rsidR="004F282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E81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non-oil economy</w:t>
      </w:r>
      <w:r w:rsidR="002B0ED4" w:rsidRPr="00E77C32">
        <w:rPr>
          <w:rFonts w:ascii="Times New Roman" w:hAnsi="Times New Roman" w:cs="Times New Roman"/>
          <w:sz w:val="24"/>
          <w:szCs w:val="24"/>
          <w:lang w:val="en-US"/>
        </w:rPr>
        <w:t>, financial instabilities,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and res</w:t>
      </w:r>
      <w:bookmarkStart w:id="0" w:name="_GoBack"/>
      <w:bookmarkEnd w:id="0"/>
      <w:r w:rsidR="007E0E7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E0E72" w:rsidRPr="00E77C32">
        <w:rPr>
          <w:rFonts w:ascii="Times New Roman" w:hAnsi="Times New Roman" w:cs="Times New Roman"/>
          <w:sz w:val="24"/>
          <w:szCs w:val="24"/>
          <w:lang w:val="en-US"/>
        </w:rPr>
        <w:t>structured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2E81" w:rsidRPr="005D7C67">
        <w:rPr>
          <w:rFonts w:ascii="Times New Roman" w:hAnsi="Times New Roman" w:cs="Times New Roman"/>
          <w:noProof/>
          <w:sz w:val="24"/>
          <w:szCs w:val="24"/>
          <w:lang w:val="en-US"/>
        </w:rPr>
        <w:t>e</w:t>
      </w:r>
      <w:r w:rsidR="004F2829" w:rsidRPr="005D7C67">
        <w:rPr>
          <w:rFonts w:ascii="Times New Roman" w:hAnsi="Times New Roman" w:cs="Times New Roman"/>
          <w:noProof/>
          <w:sz w:val="24"/>
          <w:szCs w:val="24"/>
          <w:lang w:val="en-US"/>
        </w:rPr>
        <w:t>nvironmental</w:t>
      </w:r>
      <w:r w:rsidR="005D7C67" w:rsidRPr="00876E2B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economic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policies. There is</w:t>
      </w:r>
      <w:r w:rsidR="004F2829" w:rsidRPr="00E77C32">
        <w:rPr>
          <w:rFonts w:ascii="Times New Roman" w:hAnsi="Times New Roman" w:cs="Times New Roman"/>
          <w:sz w:val="24"/>
          <w:szCs w:val="24"/>
          <w:lang w:val="en-US"/>
        </w:rPr>
        <w:t>, however,</w:t>
      </w:r>
      <w:r w:rsidR="006D2E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a projected GDP growth of 1.5% and 2.4% in 2018 and 2019 respectively. </w:t>
      </w:r>
    </w:p>
    <w:p w:rsidR="00052D98" w:rsidRPr="00E77C32" w:rsidRDefault="00052D98" w:rsidP="003B08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b/>
          <w:sz w:val="24"/>
          <w:szCs w:val="24"/>
          <w:lang w:val="en-US"/>
        </w:rPr>
        <w:t>International Banking Perspectives</w:t>
      </w:r>
    </w:p>
    <w:p w:rsidR="0099353A" w:rsidRPr="00E77C32" w:rsidRDefault="007E0E72" w:rsidP="007E0E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is true that t</w:t>
      </w:r>
      <w:r w:rsidR="002B0ED4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he projected growth of the country’s economic </w:t>
      </w:r>
      <w:r w:rsidR="002E30BF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perspective </w:t>
      </w:r>
      <w:r w:rsidR="00AF1014">
        <w:rPr>
          <w:rFonts w:ascii="Times New Roman" w:hAnsi="Times New Roman" w:cs="Times New Roman"/>
          <w:noProof/>
          <w:sz w:val="24"/>
          <w:szCs w:val="24"/>
          <w:lang w:val="en-US"/>
        </w:rPr>
        <w:t>progresses</w:t>
      </w:r>
      <w:r w:rsidR="002E30BF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by reforms in both oil and non-oil economic </w:t>
      </w:r>
      <w:r w:rsidR="00914A24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pillar priorities. </w:t>
      </w:r>
      <w:r w:rsidR="00E55AEC" w:rsidRPr="00E77C32">
        <w:rPr>
          <w:rFonts w:ascii="Times New Roman" w:hAnsi="Times New Roman" w:cs="Times New Roman"/>
          <w:sz w:val="24"/>
          <w:szCs w:val="24"/>
          <w:lang w:val="en-US"/>
        </w:rPr>
        <w:t>Banking assessments have seen the largest state-owned bank restructuring debt worth 9% of GDP</w:t>
      </w:r>
      <w:r w:rsidR="00D83D39" w:rsidRPr="00E77C32">
        <w:rPr>
          <w:rFonts w:ascii="Times New Roman" w:hAnsi="Times New Roman" w:cs="Times New Roman"/>
          <w:sz w:val="24"/>
          <w:szCs w:val="24"/>
          <w:lang w:val="en-US"/>
        </w:rPr>
        <w:t>, as some banks are raising fresh capital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1708334674"/>
          <w:citation/>
        </w:sdtPr>
        <w:sdtContent>
          <w:r w:rsidR="00251CAC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begin"/>
          </w:r>
          <w:r w:rsidR="00FB4749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IMF17 \l 1033 </w:instrText>
          </w:r>
          <w:r w:rsidR="00251CAC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separate"/>
          </w:r>
          <w:r w:rsidR="00FB4749" w:rsidRPr="00E77C32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 xml:space="preserve"> (IMF, 2017)</w:t>
          </w:r>
          <w:r w:rsidR="00251CAC" w:rsidRPr="00E77C32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sdtContent>
      </w:sdt>
      <w:r w:rsidR="00D83D3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to meet the projected growth </w:t>
      </w:r>
      <w:r w:rsidR="00A91F4B" w:rsidRPr="00E77C32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="00FB474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and relied on foreign debt issuance</w:t>
      </w:r>
      <w:r w:rsidR="00A91F4B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E3E90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Foreign exchange rate measures have enabled the variations facing many Central Asia nations. Indeed this external factor has enabled the movement of local currency. </w:t>
      </w:r>
      <w:r w:rsidR="002448D0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The liberalization of both foreign and local currencies </w:t>
      </w:r>
      <w:r w:rsidRPr="00E77C32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2448D0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allowed the dominant of local currencies to meet the </w:t>
      </w:r>
      <w:r w:rsidR="00C23BAF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decline in remittances using foreign currencies. </w:t>
      </w:r>
      <w:r w:rsidR="004826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The Central Bank of Azerbaijan increased policy rates</w:t>
      </w:r>
      <w:r w:rsidR="009F6553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(from 7% to 15% in 2016 and 2017 respectively)</w:t>
      </w:r>
      <w:r w:rsidR="004826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given</w:t>
      </w:r>
      <w:r w:rsidR="00482681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the rising inflation rate.</w:t>
      </w:r>
      <w:r w:rsidR="00BE08AA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These financial policy actions have had some minimal impact on both lending and deposit rates </w:t>
      </w:r>
      <w:r w:rsidR="00410D53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indicating weak monetary transmission. </w:t>
      </w:r>
      <w:r w:rsidR="00586D06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The official and unofficial exchange rates 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may </w:t>
      </w:r>
      <w:r w:rsidR="00586D06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serve a measure for domestic prices of goods and services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. E</w:t>
      </w:r>
      <w:r w:rsidR="00586D06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fforts are made to develop and implement strong monetary and fiscal policies which are </w:t>
      </w:r>
      <w:r w:rsidR="004F282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prioritized to </w:t>
      </w:r>
      <w:r w:rsidR="00806652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establish proactive banking mechanisms, clear monetary objectives and sound monetary development that will not weaken the local currency </w:t>
      </w:r>
      <w:r w:rsidR="00861955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at the expense of foreign currencies.</w:t>
      </w:r>
      <w:r w:rsidR="00861955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Foreign exchange can safeguard the direct impor</w:t>
      </w:r>
      <w:r w:rsidR="00D97405" w:rsidRPr="00E77C32">
        <w:rPr>
          <w:rFonts w:ascii="Times New Roman" w:hAnsi="Times New Roman" w:cs="Times New Roman"/>
          <w:sz w:val="24"/>
          <w:szCs w:val="24"/>
          <w:lang w:val="en-US"/>
        </w:rPr>
        <w:t>t-export strength of the economy to ease</w:t>
      </w:r>
      <w:r w:rsidR="00EC7AA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financial development for both state-owned banks and private banks in the </w:t>
      </w:r>
      <w:r w:rsidR="00E77C32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preced</w:t>
      </w:r>
      <w:r w:rsidR="00EC7AA9" w:rsidRPr="00E77C32">
        <w:rPr>
          <w:rFonts w:ascii="Times New Roman" w:hAnsi="Times New Roman" w:cs="Times New Roman"/>
          <w:noProof/>
          <w:sz w:val="24"/>
          <w:szCs w:val="24"/>
          <w:lang w:val="en-US"/>
        </w:rPr>
        <w:t>ing</w:t>
      </w:r>
      <w:r w:rsidR="00EC7AA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economic </w:t>
      </w:r>
      <w:r w:rsidR="00064A9B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and financial </w:t>
      </w:r>
      <w:r w:rsidR="00EC7AA9" w:rsidRPr="00E77C32">
        <w:rPr>
          <w:rFonts w:ascii="Times New Roman" w:hAnsi="Times New Roman" w:cs="Times New Roman"/>
          <w:sz w:val="24"/>
          <w:szCs w:val="24"/>
          <w:lang w:val="en-US"/>
        </w:rPr>
        <w:t>circumstance</w:t>
      </w:r>
      <w:r w:rsidR="00064A9B" w:rsidRPr="00E77C3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C7AA9"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99353A" w:rsidRPr="003B085B" w:rsidRDefault="0099353A" w:rsidP="003B08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Conclusion</w:t>
      </w:r>
    </w:p>
    <w:p w:rsidR="007E0E72" w:rsidRDefault="009227CC" w:rsidP="007E0E72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7C32">
        <w:rPr>
          <w:rFonts w:ascii="Times New Roman" w:hAnsi="Times New Roman" w:cs="Times New Roman"/>
          <w:sz w:val="24"/>
          <w:szCs w:val="24"/>
        </w:rPr>
        <w:t>Banking sector requires</w:t>
      </w:r>
      <w:r w:rsidR="00E77C32" w:rsidRPr="00E77C32">
        <w:rPr>
          <w:rFonts w:ascii="Times New Roman" w:hAnsi="Times New Roman" w:cs="Times New Roman"/>
          <w:sz w:val="24"/>
          <w:szCs w:val="24"/>
        </w:rPr>
        <w:t xml:space="preserve"> a</w:t>
      </w:r>
      <w:r w:rsidRPr="00E77C32">
        <w:rPr>
          <w:rFonts w:ascii="Times New Roman" w:hAnsi="Times New Roman" w:cs="Times New Roman"/>
          <w:sz w:val="24"/>
          <w:szCs w:val="24"/>
        </w:rPr>
        <w:t xml:space="preserve"> </w:t>
      </w:r>
      <w:r w:rsidRPr="00E77C32">
        <w:rPr>
          <w:rFonts w:ascii="Times New Roman" w:hAnsi="Times New Roman" w:cs="Times New Roman"/>
          <w:noProof/>
          <w:sz w:val="24"/>
          <w:szCs w:val="24"/>
        </w:rPr>
        <w:t>proactive approach</w:t>
      </w:r>
      <w:r w:rsidRPr="00E77C32">
        <w:rPr>
          <w:rFonts w:ascii="Times New Roman" w:hAnsi="Times New Roman" w:cs="Times New Roman"/>
          <w:sz w:val="24"/>
          <w:szCs w:val="24"/>
        </w:rPr>
        <w:t xml:space="preserve"> to meet the growing and changing market demands. Emerging issues such a high demand for loans brackets for individuals and businesses among others needs to be in line with the international best banking practices. </w:t>
      </w:r>
      <w:r w:rsidR="001C4719" w:rsidRPr="00E77C32">
        <w:rPr>
          <w:rFonts w:ascii="Times New Roman" w:hAnsi="Times New Roman" w:cs="Times New Roman"/>
          <w:sz w:val="24"/>
          <w:szCs w:val="24"/>
        </w:rPr>
        <w:t xml:space="preserve">Competitive financial environments need to meet the diversification realignment of business in the strategic realignments. </w:t>
      </w:r>
      <w:r w:rsidR="009327BF" w:rsidRPr="00E77C32">
        <w:rPr>
          <w:rFonts w:ascii="Times New Roman" w:hAnsi="Times New Roman" w:cs="Times New Roman"/>
          <w:sz w:val="24"/>
          <w:szCs w:val="24"/>
        </w:rPr>
        <w:t xml:space="preserve">The unprecedented global crises have a direct impact on the banking and economic sector, especially to nations that primarily depend on exports or imports. With the implementation of the </w:t>
      </w:r>
      <w:r w:rsidR="00CA5BDA" w:rsidRPr="00E77C32">
        <w:rPr>
          <w:rFonts w:ascii="Times New Roman" w:hAnsi="Times New Roman" w:cs="Times New Roman"/>
          <w:sz w:val="24"/>
          <w:szCs w:val="24"/>
        </w:rPr>
        <w:t xml:space="preserve">draft budget, Azerbaijan is likely to shift this </w:t>
      </w:r>
      <w:r w:rsidR="00356B5D" w:rsidRPr="00E77C32">
        <w:rPr>
          <w:rFonts w:ascii="Times New Roman" w:hAnsi="Times New Roman" w:cs="Times New Roman"/>
          <w:sz w:val="24"/>
          <w:szCs w:val="24"/>
        </w:rPr>
        <w:t xml:space="preserve">economic perspective as the economy will progress towards strengthening non-oil pillars of the economy, which have a high access </w:t>
      </w:r>
      <w:r w:rsidR="008E497E" w:rsidRPr="00E77C32">
        <w:rPr>
          <w:rFonts w:ascii="Times New Roman" w:hAnsi="Times New Roman" w:cs="Times New Roman"/>
          <w:sz w:val="24"/>
          <w:szCs w:val="24"/>
        </w:rPr>
        <w:t xml:space="preserve">to the local citizenry. </w:t>
      </w:r>
    </w:p>
    <w:p w:rsidR="004D1791" w:rsidRPr="00E77C32" w:rsidRDefault="00A1422B" w:rsidP="007E0E72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22B">
        <w:rPr>
          <w:rFonts w:ascii="Times New Roman" w:hAnsi="Times New Roman" w:cs="Times New Roman"/>
          <w:noProof/>
          <w:sz w:val="24"/>
          <w:szCs w:val="24"/>
        </w:rPr>
        <w:t>The negative factors that decelerate growth such as w</w:t>
      </w:r>
      <w:r w:rsidR="00AC3CF0" w:rsidRPr="00A1422B">
        <w:rPr>
          <w:rFonts w:ascii="Times New Roman" w:hAnsi="Times New Roman" w:cs="Times New Roman"/>
          <w:noProof/>
          <w:sz w:val="24"/>
          <w:szCs w:val="24"/>
        </w:rPr>
        <w:t>eak governance</w:t>
      </w:r>
      <w:r w:rsidR="0079257F" w:rsidRPr="00A1422B">
        <w:rPr>
          <w:rFonts w:ascii="Times New Roman" w:hAnsi="Times New Roman" w:cs="Times New Roman"/>
          <w:noProof/>
          <w:sz w:val="24"/>
          <w:szCs w:val="24"/>
        </w:rPr>
        <w:t xml:space="preserve"> and ownership </w:t>
      </w:r>
      <w:r w:rsidRPr="00A1422B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tructures </w:t>
      </w:r>
      <w:r w:rsidR="0079257F" w:rsidRPr="00A1422B">
        <w:rPr>
          <w:rFonts w:ascii="Times New Roman" w:hAnsi="Times New Roman" w:cs="Times New Roman"/>
          <w:noProof/>
          <w:sz w:val="24"/>
          <w:szCs w:val="24"/>
        </w:rPr>
        <w:t xml:space="preserve">facilitated by political interferences, corruption, management structures and </w:t>
      </w:r>
      <w:r w:rsidR="00E77C32" w:rsidRPr="00A1422B">
        <w:rPr>
          <w:rFonts w:ascii="Times New Roman" w:hAnsi="Times New Roman" w:cs="Times New Roman"/>
          <w:noProof/>
          <w:sz w:val="24"/>
          <w:szCs w:val="24"/>
        </w:rPr>
        <w:t>external factors (globalization, for instance</w:t>
      </w:r>
      <w:r w:rsidR="0079257F" w:rsidRPr="00A1422B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="00AC3CF0" w:rsidRPr="00A1422B">
        <w:rPr>
          <w:rFonts w:ascii="Times New Roman" w:hAnsi="Times New Roman" w:cs="Times New Roman"/>
          <w:noProof/>
          <w:sz w:val="24"/>
          <w:szCs w:val="24"/>
        </w:rPr>
        <w:t>need to be improved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A1422B">
        <w:rPr>
          <w:rFonts w:ascii="Times New Roman" w:hAnsi="Times New Roman" w:cs="Times New Roman"/>
          <w:noProof/>
          <w:sz w:val="24"/>
          <w:szCs w:val="24"/>
        </w:rPr>
        <w:t>Investors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C3CF0" w:rsidRPr="00A1422B">
        <w:rPr>
          <w:rFonts w:ascii="Times New Roman" w:hAnsi="Times New Roman" w:cs="Times New Roman"/>
          <w:noProof/>
          <w:sz w:val="24"/>
          <w:szCs w:val="24"/>
        </w:rPr>
        <w:t>(</w:t>
      </w:r>
      <w:r>
        <w:rPr>
          <w:rFonts w:ascii="Times New Roman" w:hAnsi="Times New Roman" w:cs="Times New Roman"/>
          <w:noProof/>
          <w:sz w:val="24"/>
          <w:szCs w:val="24"/>
        </w:rPr>
        <w:t xml:space="preserve">foreign and domestic) confidence need to be </w:t>
      </w:r>
      <w:r w:rsidRPr="00A1422B">
        <w:rPr>
          <w:rFonts w:ascii="Times New Roman" w:hAnsi="Times New Roman" w:cs="Times New Roman"/>
          <w:noProof/>
          <w:sz w:val="24"/>
          <w:szCs w:val="24"/>
        </w:rPr>
        <w:t>assured</w:t>
      </w:r>
      <w:r>
        <w:rPr>
          <w:rFonts w:ascii="Times New Roman" w:hAnsi="Times New Roman" w:cs="Times New Roman"/>
          <w:noProof/>
          <w:sz w:val="24"/>
          <w:szCs w:val="24"/>
        </w:rPr>
        <w:t>, through e</w:t>
      </w:r>
      <w:r w:rsidR="00AC3CF0" w:rsidRPr="00A1422B">
        <w:rPr>
          <w:rFonts w:ascii="Times New Roman" w:hAnsi="Times New Roman" w:cs="Times New Roman"/>
          <w:noProof/>
          <w:sz w:val="24"/>
          <w:szCs w:val="24"/>
        </w:rPr>
        <w:t>ngagement with other lenders and establishment of</w:t>
      </w:r>
      <w:r w:rsidR="00E77C32" w:rsidRPr="00A1422B"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 w:rsidR="00AC3CF0" w:rsidRPr="00A1422B">
        <w:rPr>
          <w:rFonts w:ascii="Times New Roman" w:hAnsi="Times New Roman" w:cs="Times New Roman"/>
          <w:noProof/>
          <w:sz w:val="24"/>
          <w:szCs w:val="24"/>
        </w:rPr>
        <w:t xml:space="preserve"> regime that enables the local communities</w:t>
      </w:r>
      <w:r w:rsidR="00E77C32" w:rsidRPr="00A1422B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AC3CF0" w:rsidRPr="00A1422B">
        <w:rPr>
          <w:rFonts w:ascii="Times New Roman" w:hAnsi="Times New Roman" w:cs="Times New Roman"/>
          <w:noProof/>
          <w:sz w:val="24"/>
          <w:szCs w:val="24"/>
        </w:rPr>
        <w:t xml:space="preserve"> benefit from the outputs of job creation.</w:t>
      </w:r>
      <w:r w:rsidR="00AC3CF0" w:rsidRPr="00E77C32">
        <w:rPr>
          <w:rFonts w:ascii="Times New Roman" w:hAnsi="Times New Roman" w:cs="Times New Roman"/>
          <w:sz w:val="24"/>
          <w:szCs w:val="24"/>
        </w:rPr>
        <w:t xml:space="preserve"> </w:t>
      </w:r>
      <w:r w:rsidR="00EE57EF" w:rsidRPr="00E77C32">
        <w:rPr>
          <w:rFonts w:ascii="Times New Roman" w:hAnsi="Times New Roman" w:cs="Times New Roman"/>
          <w:sz w:val="24"/>
          <w:szCs w:val="24"/>
        </w:rPr>
        <w:t xml:space="preserve">Improved trade diversification and export/import structures are </w:t>
      </w:r>
      <w:r w:rsidR="004D1791" w:rsidRPr="00E77C32">
        <w:rPr>
          <w:rFonts w:ascii="Times New Roman" w:hAnsi="Times New Roman" w:cs="Times New Roman"/>
          <w:sz w:val="24"/>
          <w:szCs w:val="24"/>
        </w:rPr>
        <w:t>an important aspect for Azerbaijan to attain the projected growth while attaining impact in the economic factors.</w:t>
      </w: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1791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n-GB"/>
        </w:rPr>
        <w:id w:val="-650135063"/>
        <w:docPartObj>
          <w:docPartGallery w:val="Bibliographies"/>
          <w:docPartUnique/>
        </w:docPartObj>
      </w:sdtPr>
      <w:sdtContent>
        <w:p w:rsidR="004D1791" w:rsidRPr="00E77C32" w:rsidRDefault="004D1791" w:rsidP="00E77C32">
          <w:pPr>
            <w:pStyle w:val="Heading1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77C32">
            <w:rPr>
              <w:rFonts w:ascii="Times New Roman" w:hAnsi="Times New Roman" w:cs="Times New Roman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Content>
            <w:p w:rsidR="004D1791" w:rsidRPr="00E77C32" w:rsidRDefault="00251CAC" w:rsidP="00E77C32">
              <w:pPr>
                <w:pStyle w:val="Bibliography"/>
                <w:spacing w:line="36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251CA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="004D1791" w:rsidRPr="00E77C32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251CA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4D1791" w:rsidRPr="00E77C32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Focus Economics. (2017, November 27). </w:t>
              </w:r>
              <w:r w:rsidR="004D1791" w:rsidRPr="005D7C67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Economic Forecasts</w:t>
              </w:r>
              <w:r w:rsidR="004D1791" w:rsidRPr="00E77C32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 xml:space="preserve"> from the World's Leading </w:t>
              </w:r>
              <w:r w:rsidR="004D1791" w:rsidRPr="00AF1014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Economists</w:t>
              </w:r>
              <w:r w:rsidR="004D1791" w:rsidRPr="00AF1014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.</w:t>
              </w:r>
              <w:r w:rsidR="004D1791" w:rsidRPr="00E77C32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 Retrieved from Azerbaijan Economic Forecast: www.focus-econimics.com/countries/azerbaijan</w:t>
              </w:r>
            </w:p>
            <w:p w:rsidR="004D1791" w:rsidRPr="00E77C32" w:rsidRDefault="004D1791" w:rsidP="00E77C32">
              <w:pPr>
                <w:pStyle w:val="Bibliography"/>
                <w:spacing w:line="36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E77C32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IMF. (2017). </w:t>
              </w:r>
              <w:r w:rsidRPr="00E77C32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World Economic Anf Financial Surveys: Regional and Economic Outlook Middle East and Central Asia.</w:t>
              </w:r>
              <w:r w:rsidRPr="00E77C32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 Washington DC: International Monetary Fund.</w:t>
              </w:r>
            </w:p>
            <w:p w:rsidR="004D1791" w:rsidRPr="00E77C32" w:rsidRDefault="00251CAC" w:rsidP="00E77C32">
              <w:pPr>
                <w:spacing w:line="36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E77C32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3B1435" w:rsidRPr="00E77C32" w:rsidRDefault="004D179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E3E90" w:rsidRPr="00E77C32" w:rsidRDefault="00482681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E3E90" w:rsidRPr="00E77C32" w:rsidRDefault="009E3E90" w:rsidP="00E77C3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55AEC" w:rsidRPr="00E77C32" w:rsidRDefault="009E3E90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AEC" w:rsidRPr="00E77C32" w:rsidRDefault="00E55AEC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B0ED4" w:rsidRPr="00E77C32" w:rsidRDefault="00A91F4B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ED4" w:rsidRPr="00E77C32" w:rsidRDefault="00914A24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7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D98" w:rsidRPr="00E77C32" w:rsidRDefault="00052D98" w:rsidP="00E77C3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52D98" w:rsidRPr="00E77C32" w:rsidSect="003B085B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792" w:rsidRDefault="00537792" w:rsidP="003B085B">
      <w:pPr>
        <w:spacing w:after="0" w:line="240" w:lineRule="auto"/>
      </w:pPr>
      <w:r>
        <w:separator/>
      </w:r>
    </w:p>
  </w:endnote>
  <w:endnote w:type="continuationSeparator" w:id="1">
    <w:p w:rsidR="00537792" w:rsidRDefault="00537792" w:rsidP="003B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792" w:rsidRDefault="00537792" w:rsidP="003B085B">
      <w:pPr>
        <w:spacing w:after="0" w:line="240" w:lineRule="auto"/>
      </w:pPr>
      <w:r>
        <w:separator/>
      </w:r>
    </w:p>
  </w:footnote>
  <w:footnote w:type="continuationSeparator" w:id="1">
    <w:p w:rsidR="00537792" w:rsidRDefault="00537792" w:rsidP="003B0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5B" w:rsidRPr="003B085B" w:rsidRDefault="003B085B" w:rsidP="003B085B">
    <w:pPr>
      <w:spacing w:line="360" w:lineRule="auto"/>
      <w:rPr>
        <w:rFonts w:ascii="Times New Roman" w:hAnsi="Times New Roman" w:cs="Times New Roman"/>
        <w:sz w:val="24"/>
        <w:szCs w:val="24"/>
        <w:lang w:val="en-US"/>
      </w:rPr>
    </w:pPr>
    <w:r w:rsidRPr="003B085B">
      <w:rPr>
        <w:rFonts w:ascii="Times New Roman" w:hAnsi="Times New Roman" w:cs="Times New Roman"/>
        <w:sz w:val="24"/>
        <w:szCs w:val="24"/>
        <w:lang w:val="en-US"/>
      </w:rPr>
      <w:t>REGIONAL ECONOMIC OUTLOOK – AZERBAIJAN</w:t>
    </w: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                              </w:t>
    </w:r>
    <w:sdt>
      <w:sdtPr>
        <w:id w:val="-18236476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51CAC">
          <w:fldChar w:fldCharType="begin"/>
        </w:r>
        <w:r>
          <w:instrText xml:space="preserve"> PAGE   \* MERGEFORMAT </w:instrText>
        </w:r>
        <w:r w:rsidR="00251CAC">
          <w:fldChar w:fldCharType="separate"/>
        </w:r>
        <w:r w:rsidR="00A20DC1">
          <w:rPr>
            <w:noProof/>
          </w:rPr>
          <w:t>2</w:t>
        </w:r>
        <w:r w:rsidR="00251CAC">
          <w:rPr>
            <w:noProof/>
          </w:rPr>
          <w:fldChar w:fldCharType="end"/>
        </w:r>
      </w:sdtContent>
    </w:sdt>
  </w:p>
  <w:p w:rsidR="003B085B" w:rsidRDefault="003B085B" w:rsidP="003B085B">
    <w:pPr>
      <w:pStyle w:val="Header"/>
      <w:tabs>
        <w:tab w:val="clear" w:pos="4680"/>
        <w:tab w:val="clear" w:pos="9360"/>
        <w:tab w:val="left" w:pos="726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5B" w:rsidRPr="003B085B" w:rsidRDefault="003B085B" w:rsidP="003B085B">
    <w:pPr>
      <w:spacing w:line="360" w:lineRule="auto"/>
      <w:rPr>
        <w:rFonts w:ascii="Times New Roman" w:hAnsi="Times New Roman" w:cs="Times New Roman"/>
        <w:sz w:val="24"/>
        <w:szCs w:val="24"/>
        <w:lang w:val="en-US"/>
      </w:rPr>
    </w:pPr>
    <w:r>
      <w:t xml:space="preserve">Running head: </w:t>
    </w:r>
    <w:r w:rsidRPr="003B085B">
      <w:rPr>
        <w:rFonts w:ascii="Times New Roman" w:hAnsi="Times New Roman" w:cs="Times New Roman"/>
        <w:sz w:val="24"/>
        <w:szCs w:val="24"/>
        <w:lang w:val="en-US"/>
      </w:rPr>
      <w:t>REGIONAL ECONOMIC OUTLOOK – AZERBAIJAN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tTAyNrA0MzUzMrc0MDdV0lEKTi0uzszPAykwrAUAcfsOvSwAAAA="/>
  </w:docVars>
  <w:rsids>
    <w:rsidRoot w:val="000113E6"/>
    <w:rsid w:val="000113E6"/>
    <w:rsid w:val="00052D98"/>
    <w:rsid w:val="00064A9B"/>
    <w:rsid w:val="00171A22"/>
    <w:rsid w:val="001C4719"/>
    <w:rsid w:val="001E323D"/>
    <w:rsid w:val="002448D0"/>
    <w:rsid w:val="00251CAC"/>
    <w:rsid w:val="002B0ED4"/>
    <w:rsid w:val="002E30BF"/>
    <w:rsid w:val="002F20DB"/>
    <w:rsid w:val="00324914"/>
    <w:rsid w:val="00356B5D"/>
    <w:rsid w:val="003B085B"/>
    <w:rsid w:val="003B1435"/>
    <w:rsid w:val="00410D53"/>
    <w:rsid w:val="00482681"/>
    <w:rsid w:val="004D1791"/>
    <w:rsid w:val="004F2829"/>
    <w:rsid w:val="00537792"/>
    <w:rsid w:val="00586D06"/>
    <w:rsid w:val="005B0C7B"/>
    <w:rsid w:val="005D7C67"/>
    <w:rsid w:val="006D2E81"/>
    <w:rsid w:val="00741DE5"/>
    <w:rsid w:val="0079257F"/>
    <w:rsid w:val="007E0E72"/>
    <w:rsid w:val="00806652"/>
    <w:rsid w:val="00861955"/>
    <w:rsid w:val="00876E2B"/>
    <w:rsid w:val="008866CD"/>
    <w:rsid w:val="008E497E"/>
    <w:rsid w:val="00914A24"/>
    <w:rsid w:val="009227CC"/>
    <w:rsid w:val="009327BF"/>
    <w:rsid w:val="0099353A"/>
    <w:rsid w:val="009E3E90"/>
    <w:rsid w:val="009F6553"/>
    <w:rsid w:val="00A1422B"/>
    <w:rsid w:val="00A20DC1"/>
    <w:rsid w:val="00A91F4B"/>
    <w:rsid w:val="00A93800"/>
    <w:rsid w:val="00AA0711"/>
    <w:rsid w:val="00AC3CF0"/>
    <w:rsid w:val="00AF1014"/>
    <w:rsid w:val="00B5796C"/>
    <w:rsid w:val="00BE08AA"/>
    <w:rsid w:val="00C23BAF"/>
    <w:rsid w:val="00CA5BDA"/>
    <w:rsid w:val="00D82C6D"/>
    <w:rsid w:val="00D83D39"/>
    <w:rsid w:val="00D97405"/>
    <w:rsid w:val="00E450F8"/>
    <w:rsid w:val="00E55AEC"/>
    <w:rsid w:val="00E77C32"/>
    <w:rsid w:val="00EC7AA9"/>
    <w:rsid w:val="00EE57EF"/>
    <w:rsid w:val="00F36787"/>
    <w:rsid w:val="00F81F6F"/>
    <w:rsid w:val="00FB4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C7B"/>
  </w:style>
  <w:style w:type="paragraph" w:styleId="Heading1">
    <w:name w:val="heading 1"/>
    <w:basedOn w:val="Normal"/>
    <w:next w:val="Normal"/>
    <w:link w:val="Heading1Char"/>
    <w:uiPriority w:val="9"/>
    <w:qFormat/>
    <w:rsid w:val="004D17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79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4D1791"/>
  </w:style>
  <w:style w:type="paragraph" w:styleId="Header">
    <w:name w:val="header"/>
    <w:basedOn w:val="Normal"/>
    <w:link w:val="HeaderChar"/>
    <w:uiPriority w:val="99"/>
    <w:unhideWhenUsed/>
    <w:rsid w:val="003B0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85B"/>
  </w:style>
  <w:style w:type="paragraph" w:styleId="Footer">
    <w:name w:val="footer"/>
    <w:basedOn w:val="Normal"/>
    <w:link w:val="FooterChar"/>
    <w:uiPriority w:val="99"/>
    <w:unhideWhenUsed/>
    <w:rsid w:val="003B0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85B"/>
  </w:style>
  <w:style w:type="paragraph" w:styleId="BalloonText">
    <w:name w:val="Balloon Text"/>
    <w:basedOn w:val="Normal"/>
    <w:link w:val="BalloonTextChar"/>
    <w:uiPriority w:val="99"/>
    <w:semiHidden/>
    <w:unhideWhenUsed/>
    <w:rsid w:val="007E0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E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Foc171</b:Tag>
    <b:SourceType>InternetSite</b:SourceType>
    <b:Guid>{A2F62B26-CC19-4BEF-95F6-28C00527BD36}</b:Guid>
    <b:Title>Economic Forecasts from the World's Leading Economists </b:Title>
    <b:Year>2017</b:Year>
    <b:Author>
      <b:Author>
        <b:Corporate>Focus Economics</b:Corporate>
      </b:Author>
    </b:Author>
    <b:InternetSiteTitle>Azerbaijan Economic Forecast</b:InternetSiteTitle>
    <b:Month>November</b:Month>
    <b:Day>27</b:Day>
    <b:URL>www.focus-econimics.com/countries/azerbaijan</b:URL>
    <b:RefOrder>1</b:RefOrder>
  </b:Source>
  <b:Source>
    <b:Tag>IMF17</b:Tag>
    <b:SourceType>Report</b:SourceType>
    <b:Guid>{9E8155E4-4FB1-460E-B83E-28D722C88AC5}</b:Guid>
    <b:Title>World Economic Anf Financial Surveys: Regional and  Economic Outlook Middle East and Central Asia</b:Title>
    <b:Year>2017</b:Year>
    <b:Author>
      <b:Author>
        <b:Corporate>IMF</b:Corporate>
      </b:Author>
    </b:Author>
    <b:Publisher>International Monetary Fund</b:Publisher>
    <b:City>Washington DC</b:City>
    <b:StandardNumber>ISBN: 978-1-48432-437-0</b:StandardNumber>
    <b:RefOrder>2</b:RefOrder>
  </b:Source>
</b:Sources>
</file>

<file path=customXml/itemProps1.xml><?xml version="1.0" encoding="utf-8"?>
<ds:datastoreItem xmlns:ds="http://schemas.openxmlformats.org/officeDocument/2006/customXml" ds:itemID="{093723AC-72A4-4118-90A8-D346EFCC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SOLOMON</dc:creator>
  <cp:lastModifiedBy>user</cp:lastModifiedBy>
  <cp:revision>2</cp:revision>
  <dcterms:created xsi:type="dcterms:W3CDTF">2017-12-20T09:38:00Z</dcterms:created>
  <dcterms:modified xsi:type="dcterms:W3CDTF">2017-12-20T09:38:00Z</dcterms:modified>
</cp:coreProperties>
</file>